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ROSCI0257ZPB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Tusa - Barcău</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10,61</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99,06%</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Sălaj</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r>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r>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10,61</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Hotărârea Consiliului Județean Sălaj nr. 5/1995: Rezervația peisagistică Tusa – Barcău;</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RONPA0707 Rezervația peisagistică Tusa – Barcău;</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Pr>
          <w:sz w:val="22"/>
          <w:szCs w:val="22"/>
          <w:rtl w:val="0"/>
        </w:rPr>
        <w:t xml:space="preserve">Informația ecologică</w:t>
      </w:r>
    </w:p>
    <w:p w:rsidR="00000000" w:rsidDel="00000000" w:rsidP="00000000" w:rsidRDefault="00000000" w:rsidRPr="00000000" w14:paraId="00000068">
      <w:pPr>
        <w:spacing w:after="0" w:before="160" w:line="300" w:lineRule="auto"/>
        <w:rPr>
          <w:sz w:val="22"/>
          <w:szCs w:val="22"/>
        </w:rPr>
      </w:pPr>
      <w:r>
        <w:rPr>
          <w:rtl w:val="0"/>
        </w:rPr>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Pr>
                <w:b w:val="1"/>
                <w:bCs w:val="1"/>
                <w:sz w:val="22"/>
                <w:szCs w:val="22"/>
                <w:rtl w:val="0"/>
              </w:rPr>
              <w:t xml:space="preserve">Habitate forestiere:</w:t>
            </w:r>
          </w:p>
          <w:p w:rsidR="00000000" w:rsidDel="00000000" w:rsidP="00000000" w:rsidRDefault="00000000" w:rsidRPr="00000000" w14:paraId="0000006D">
            <w:pPr>
              <w:spacing w:after="0" w:line="300" w:lineRule="auto"/>
              <w:rPr>
                <w:i w:val="1"/>
                <w:iCs w:val="1"/>
                <w:sz w:val="22"/>
                <w:szCs w:val="22"/>
              </w:rPr>
            </w:pPr>
            <w:r>
              <w:rPr>
                <w:i w:val="1"/>
                <w:iCs w:val="1"/>
                <w:sz w:val="22"/>
                <w:szCs w:val="22"/>
                <w:rtl w:val="0"/>
              </w:rPr>
              <w:t xml:space="preserve">9130 Păduri de fag de tip Asperulo-Fagetum </w:t>
            </w:r>
          </w:p>
          <w:p w:rsidR="00000000" w:rsidDel="00000000" w:rsidP="00000000" w:rsidRDefault="00000000" w:rsidRPr="00000000" w14:paraId="0000006E">
            <w:pPr>
              <w:spacing w:after="0" w:line="300" w:lineRule="auto"/>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4052 </w:t>
            </w:r>
            <w:r>
              <w:rPr>
                <w:i w:val="1"/>
                <w:iCs w:val="1"/>
                <w:sz w:val="22"/>
                <w:szCs w:val="22"/>
                <w:rtl w:val="0"/>
              </w:rPr>
              <w:t xml:space="preserve">Odontopodisma rubripes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4">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5">
            <w:pPr>
              <w:jc w:val="both"/>
              <w:rPr/>
            </w:pPr>
            <w:r>
              <w:rPr>
                <w:sz w:val="22"/>
                <w:szCs w:val="22"/>
                <w:rtl w:val="0"/>
              </w:rPr>
              <w:t xml:space="preserve">Desemnarea ca ZPB se fundamentează pe criteriul stabilit de metodologie pentru monumente ale naturii,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line="240" w:lineRule="auto"/>
              <w:jc w:val="both"/>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7A">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7B">
            <w:pPr>
              <w:spacing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C">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7D">
            <w:pPr>
              <w:spacing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7E">
            <w:pPr>
              <w:spacing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7F">
            <w:pPr>
              <w:spacing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0">
            <w:pPr>
              <w:spacing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1">
            <w:pPr>
              <w:spacing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82">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83">
            <w:pPr>
              <w:spacing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4">
            <w:pPr>
              <w:spacing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5">
            <w:pPr>
              <w:spacing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6">
            <w:pPr>
              <w:spacing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7">
            <w:pPr>
              <w:spacing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300" w:lineRule="auto"/>
              <w:rPr>
                <w:sz w:val="22"/>
                <w:szCs w:val="22"/>
              </w:rPr>
            </w:pPr>
            <w:r>
              <w:rPr>
                <w:sz w:val="22"/>
                <w:szCs w:val="22"/>
                <w:rtl w:val="0"/>
              </w:rPr>
              <w:t xml:space="preserve">Privată </w:t>
            </w:r>
          </w:p>
        </w:tc>
      </w:tr>
    </w:tbl>
    <w:p w:rsidR="00000000" w:rsidDel="00000000" w:rsidP="00000000" w:rsidRDefault="00000000" w:rsidRPr="00000000" w14:paraId="0000008A">
      <w:pPr>
        <w:spacing w:after="0" w:line="300" w:lineRule="auto"/>
        <w:rPr>
          <w:sz w:val="22"/>
          <w:szCs w:val="22"/>
        </w:rPr>
      </w:pPr>
      <w:r>
        <w:rPr>
          <w:rtl w:val="0"/>
        </w:rPr>
      </w:r>
    </w:p>
    <w:p w:rsidR="00000000" w:rsidDel="00000000" w:rsidP="00000000" w:rsidRDefault="00000000" w:rsidRPr="00000000" w14:paraId="0000008B">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8C">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Pr>
          <w:sz w:val="22"/>
          <w:szCs w:val="22"/>
          <w:rtl w:val="0"/>
        </w:rPr>
        <w:t xml:space="preserve">Karácsonyi, C., &amp; Negrean, G. (2017). Vegetation features of Sălaj county. Contribuţii Botanice, 52, 133-140.</w:t>
      </w:r>
    </w:p>
    <w:p w:rsidR="00000000" w:rsidDel="00000000" w:rsidP="00000000" w:rsidRDefault="00000000" w:rsidRPr="00000000" w14:paraId="0000008D">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Pr>
          <w:sz w:val="22"/>
          <w:szCs w:val="22"/>
          <w:rtl w:val="0"/>
        </w:rPr>
        <w:t xml:space="preserve">Negrean, G., Karácsonyi, C., &amp; Szatmari, P.-M. (2017). Patrimoniul natural al Sălajului. Vol. 1. Flora, Micobiota și Vegetația. Editura Someșul.</w:t>
      </w:r>
    </w:p>
    <w:p w:rsidR="00000000" w:rsidDel="00000000" w:rsidP="00000000" w:rsidRDefault="00000000" w:rsidRPr="00000000" w14:paraId="0000008E">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8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Consultările publice  au fost realizate la: 19 iunie 2025 – online, jud. Sălaj. Ulterior, în cadrul procesului de consultare extins la nivel național, a avut loc consultări suplimentare online, în data de 30 ianuarie 20206, cu participarea factorilor interesați relevanți din județul Sălaj, iar în data de 12 februarie 2026 au avut loc consultări publice la Prefectura Sălaj.</w:t>
      </w:r>
    </w:p>
    <w:p w:rsidR="00000000" w:rsidDel="00000000" w:rsidP="00000000" w:rsidRDefault="00000000" w:rsidRPr="00000000" w14:paraId="00000090">
      <w:pPr>
        <w:spacing w:after="0" w:line="300" w:lineRule="auto"/>
        <w:rPr>
          <w:b w:val="1"/>
          <w:bCs w:val="1"/>
          <w:sz w:val="22"/>
          <w:szCs w:val="22"/>
        </w:rPr>
      </w:pPr>
      <w:r>
        <w:rPr>
          <w:rtl w:val="0"/>
        </w:rPr>
      </w:r>
    </w:p>
    <w:p w:rsidR="00000000" w:rsidDel="00000000" w:rsidP="00000000" w:rsidRDefault="00000000" w:rsidRPr="00000000" w14:paraId="00000091">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92">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93">
      <w:pPr>
        <w:spacing w:after="0" w:line="300" w:lineRule="auto"/>
        <w:rPr>
          <w:sz w:val="22"/>
          <w:szCs w:val="22"/>
        </w:rPr>
      </w:pPr>
      <w:r>
        <w:rPr>
          <w:rtl w:val="0"/>
        </w:rPr>
      </w:r>
    </w:p>
    <w:p w:rsidR="00000000" w:rsidDel="00000000" w:rsidP="00000000" w:rsidRDefault="00000000" w:rsidRPr="00000000" w14:paraId="00000094">
      <w:pPr>
        <w:spacing w:after="0" w:line="300" w:lineRule="auto"/>
        <w:rPr>
          <w:sz w:val="22"/>
          <w:szCs w:val="22"/>
        </w:rPr>
      </w:pPr>
      <w:r>
        <w:rPr>
          <w:rtl w:val="0"/>
        </w:rPr>
      </w:r>
    </w:p>
    <w:p w:rsidR="00000000" w:rsidDel="00000000" w:rsidP="00000000" w:rsidRDefault="00000000" w:rsidRPr="00000000" w14:paraId="00000095">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X62RQTUZOGuP3LsCTpzbr7JMaQ==">CgMxLjA4AHIhMUx3X3RDbGJzdjNoU2NnNnZFZkR0ckhMM215T3RlU1gw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